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A25D" w14:textId="77777777" w:rsidR="00EC53AB" w:rsidRPr="00EC53AB" w:rsidRDefault="00EC53AB" w:rsidP="00EC53AB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EC53AB">
        <w:rPr>
          <w:rFonts w:ascii="Arial" w:hAnsi="Arial" w:cs="Arial"/>
          <w:b/>
          <w:bCs/>
          <w:color w:val="3DCD58"/>
          <w:sz w:val="40"/>
          <w:szCs w:val="40"/>
        </w:rPr>
        <w:t>Nová pravidla pro nabíjecí stanice: bez certifikovaného měřidla nelze legálně účtovat</w:t>
      </w:r>
    </w:p>
    <w:p w14:paraId="4BE56365" w14:textId="77777777" w:rsidR="00AA761A" w:rsidRDefault="00AA761A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1D6D5BE" w14:textId="14CF62A6" w:rsidR="009213AB" w:rsidRPr="009213AB" w:rsidRDefault="003B0A9F" w:rsidP="009213A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CC0DF5">
        <w:rPr>
          <w:rFonts w:ascii="Arial" w:eastAsia="Arial" w:hAnsi="Arial" w:cs="Arial"/>
          <w:b/>
          <w:bCs/>
          <w:sz w:val="20"/>
          <w:szCs w:val="20"/>
        </w:rPr>
        <w:t>3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0DF5">
        <w:rPr>
          <w:rFonts w:ascii="Arial" w:eastAsia="Arial" w:hAnsi="Arial" w:cs="Arial"/>
          <w:b/>
          <w:bCs/>
          <w:sz w:val="20"/>
          <w:szCs w:val="20"/>
        </w:rPr>
        <w:t>června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B42D5F" w:rsidRPr="00B42D5F">
        <w:rPr>
          <w:rFonts w:ascii="Arial" w:eastAsia="Arial" w:hAnsi="Arial" w:cs="Arial"/>
          <w:b/>
          <w:bCs/>
          <w:sz w:val="20"/>
          <w:szCs w:val="20"/>
        </w:rPr>
        <w:t>Od letošního roku musí mít každá veřejná nabíjecí stanice měřidlo certifikované Českým metrologickým institutem</w:t>
      </w:r>
      <w:r w:rsidR="00BF08AC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B42D5F" w:rsidRPr="00B42D5F">
        <w:rPr>
          <w:rFonts w:ascii="Arial" w:eastAsia="Arial" w:hAnsi="Arial" w:cs="Arial"/>
          <w:b/>
          <w:bCs/>
          <w:sz w:val="20"/>
          <w:szCs w:val="20"/>
        </w:rPr>
        <w:t>jinak nelze elektřinu zákazníkům legálně fakturovat. Schneider Electric varuje, že část provozovatelů na nová pravidla stále není připravena.</w:t>
      </w:r>
    </w:p>
    <w:p w14:paraId="1132E781" w14:textId="6B2D2CFD" w:rsidR="00ED3A64" w:rsidRDefault="00ED3A64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2658D8E3" w14:textId="10E524B6" w:rsidR="00EC53AB" w:rsidRDefault="00EC53AB" w:rsidP="00EC53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hyperlink r:id="rId11" w:history="1">
        <w:r w:rsidRPr="00B42D5F">
          <w:rPr>
            <w:rStyle w:val="Hypertextovodkaz"/>
            <w:rFonts w:ascii="Arial" w:eastAsia="Arial" w:hAnsi="Arial" w:cs="Arial"/>
            <w:sz w:val="20"/>
            <w:szCs w:val="20"/>
          </w:rPr>
          <w:t>Schneider Electric</w:t>
        </w:r>
      </w:hyperlink>
      <w:r w:rsidRPr="00EC53AB">
        <w:rPr>
          <w:rFonts w:ascii="Arial" w:eastAsia="Arial" w:hAnsi="Arial" w:cs="Arial"/>
          <w:sz w:val="20"/>
          <w:szCs w:val="20"/>
        </w:rPr>
        <w:t xml:space="preserve"> zaznamenal od začátku roku výrazný nárůst dotazů od provozovatelů. </w:t>
      </w:r>
      <w:r w:rsidRPr="00EC53AB">
        <w:rPr>
          <w:rFonts w:ascii="Arial" w:eastAsia="Arial" w:hAnsi="Arial" w:cs="Arial"/>
          <w:i/>
          <w:iCs/>
          <w:sz w:val="20"/>
          <w:szCs w:val="20"/>
        </w:rPr>
        <w:t>„Řeší, zda jejich stanice splňují požadavky, jak certifikaci zajistit a co přesně Č</w:t>
      </w:r>
      <w:r w:rsidR="00B42D5F">
        <w:rPr>
          <w:rFonts w:ascii="Arial" w:eastAsia="Arial" w:hAnsi="Arial" w:cs="Arial"/>
          <w:i/>
          <w:iCs/>
          <w:sz w:val="20"/>
          <w:szCs w:val="20"/>
        </w:rPr>
        <w:t xml:space="preserve">eský </w:t>
      </w:r>
      <w:r w:rsidRPr="00EC53AB">
        <w:rPr>
          <w:rFonts w:ascii="Arial" w:eastAsia="Arial" w:hAnsi="Arial" w:cs="Arial"/>
          <w:i/>
          <w:iCs/>
          <w:sz w:val="20"/>
          <w:szCs w:val="20"/>
        </w:rPr>
        <w:t>M</w:t>
      </w:r>
      <w:r w:rsidR="00B42D5F">
        <w:rPr>
          <w:rFonts w:ascii="Arial" w:eastAsia="Arial" w:hAnsi="Arial" w:cs="Arial"/>
          <w:i/>
          <w:iCs/>
          <w:sz w:val="20"/>
          <w:szCs w:val="20"/>
        </w:rPr>
        <w:t>etrologický institut</w:t>
      </w:r>
      <w:r w:rsidRPr="00EC53AB">
        <w:rPr>
          <w:rFonts w:ascii="Arial" w:eastAsia="Arial" w:hAnsi="Arial" w:cs="Arial"/>
          <w:i/>
          <w:iCs/>
          <w:sz w:val="20"/>
          <w:szCs w:val="20"/>
        </w:rPr>
        <w:t xml:space="preserve"> vyžaduje,"</w:t>
      </w:r>
      <w:r w:rsidRPr="00EC53AB">
        <w:rPr>
          <w:rFonts w:ascii="Arial" w:eastAsia="Arial" w:hAnsi="Arial" w:cs="Arial"/>
          <w:sz w:val="20"/>
          <w:szCs w:val="20"/>
        </w:rPr>
        <w:t xml:space="preserve"> říká Leoš Kabát, specialista na elektromobilitu ve Schneider Electric. </w:t>
      </w:r>
      <w:r w:rsidRPr="00EC53AB">
        <w:rPr>
          <w:rFonts w:ascii="Arial" w:eastAsia="Arial" w:hAnsi="Arial" w:cs="Arial"/>
          <w:i/>
          <w:iCs/>
          <w:sz w:val="20"/>
          <w:szCs w:val="20"/>
        </w:rPr>
        <w:t>„Legislativa platí, ale praxe ukazuje, že ne všichni jsou připraveni."</w:t>
      </w:r>
    </w:p>
    <w:p w14:paraId="3533DBB7" w14:textId="77777777" w:rsidR="00102202" w:rsidRDefault="00102202" w:rsidP="00EC53AB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0940D37C" w14:textId="0A10556C" w:rsidR="00102202" w:rsidRDefault="00102202" w:rsidP="00102202">
      <w:pPr>
        <w:jc w:val="both"/>
        <w:rPr>
          <w:rFonts w:ascii="Arial" w:eastAsia="Arial" w:hAnsi="Arial" w:cs="Arial"/>
          <w:sz w:val="20"/>
          <w:szCs w:val="20"/>
        </w:rPr>
      </w:pPr>
      <w:r w:rsidRPr="00AA761A">
        <w:rPr>
          <w:rFonts w:ascii="Arial" w:eastAsia="Arial" w:hAnsi="Arial" w:cs="Arial"/>
          <w:sz w:val="20"/>
          <w:szCs w:val="20"/>
        </w:rPr>
        <w:t>Požadavek platí od ledna 2026 a vztahuje se na všechny veřejné DC i AC nabíjecí stanice. Povinnost se týká také nabíječek v komerčních budovách, pokud měření slouží k fakturaci mezi právními subjekty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AA761A">
        <w:rPr>
          <w:rFonts w:ascii="Arial" w:eastAsia="Arial" w:hAnsi="Arial" w:cs="Arial"/>
          <w:sz w:val="20"/>
          <w:szCs w:val="20"/>
        </w:rPr>
        <w:t>bez ohledu na to, zda jde o střídavé nebo stejnosměrné nabíjení.</w:t>
      </w:r>
    </w:p>
    <w:p w14:paraId="16FDE376" w14:textId="77777777" w:rsidR="00102202" w:rsidRPr="00AA761A" w:rsidRDefault="00102202" w:rsidP="00102202">
      <w:pPr>
        <w:jc w:val="both"/>
        <w:rPr>
          <w:rFonts w:ascii="Arial" w:eastAsia="Arial" w:hAnsi="Arial" w:cs="Arial"/>
          <w:sz w:val="20"/>
          <w:szCs w:val="20"/>
        </w:rPr>
      </w:pPr>
    </w:p>
    <w:p w14:paraId="65C10541" w14:textId="5900CE20" w:rsidR="00102202" w:rsidRDefault="00102202" w:rsidP="00EC53AB">
      <w:pPr>
        <w:jc w:val="both"/>
        <w:rPr>
          <w:rFonts w:ascii="Arial" w:eastAsia="Arial" w:hAnsi="Arial" w:cs="Arial"/>
          <w:sz w:val="20"/>
          <w:szCs w:val="20"/>
        </w:rPr>
      </w:pPr>
      <w:r w:rsidRPr="00AA761A">
        <w:rPr>
          <w:rFonts w:ascii="Arial" w:eastAsia="Arial" w:hAnsi="Arial" w:cs="Arial"/>
          <w:sz w:val="20"/>
          <w:szCs w:val="20"/>
        </w:rPr>
        <w:t>Z povinnosti jsou naopak vyňaty nepodnikající fyzické osoby provozující nabíječky pro vlastní potřebu a společenství vlastníků nebo bytová družstva, která elektřinu vyúčtovávají interně mezi svými členy.</w:t>
      </w:r>
    </w:p>
    <w:p w14:paraId="6DF4F836" w14:textId="77777777" w:rsidR="00EC53AB" w:rsidRPr="00EC53AB" w:rsidRDefault="00EC53AB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46A6B58C" w14:textId="1A5E7447" w:rsidR="00EC53AB" w:rsidRDefault="00EC53AB" w:rsidP="00EC53AB">
      <w:pPr>
        <w:jc w:val="both"/>
        <w:rPr>
          <w:rFonts w:ascii="Arial" w:eastAsia="Arial" w:hAnsi="Arial" w:cs="Arial"/>
          <w:sz w:val="20"/>
          <w:szCs w:val="20"/>
        </w:rPr>
      </w:pPr>
      <w:r w:rsidRPr="00EC53AB">
        <w:rPr>
          <w:rFonts w:ascii="Arial" w:eastAsia="Arial" w:hAnsi="Arial" w:cs="Arial"/>
          <w:sz w:val="20"/>
          <w:szCs w:val="20"/>
        </w:rPr>
        <w:t xml:space="preserve">Schneider Electric certifikuje své stanice kombinací evropské </w:t>
      </w:r>
      <w:proofErr w:type="spellStart"/>
      <w:r w:rsidRPr="00EC53AB">
        <w:rPr>
          <w:rFonts w:ascii="Arial" w:eastAsia="Arial" w:hAnsi="Arial" w:cs="Arial"/>
          <w:sz w:val="20"/>
          <w:szCs w:val="20"/>
        </w:rPr>
        <w:t>Eichrecht</w:t>
      </w:r>
      <w:proofErr w:type="spellEnd"/>
      <w:r w:rsidRPr="00EC53AB">
        <w:rPr>
          <w:rFonts w:ascii="Arial" w:eastAsia="Arial" w:hAnsi="Arial" w:cs="Arial"/>
          <w:sz w:val="20"/>
          <w:szCs w:val="20"/>
        </w:rPr>
        <w:t xml:space="preserve"> certifikace a lokálního ověření u ČMI. </w:t>
      </w:r>
      <w:r w:rsidR="005C136D">
        <w:rPr>
          <w:rFonts w:ascii="Arial" w:eastAsia="Arial" w:hAnsi="Arial" w:cs="Arial"/>
          <w:sz w:val="20"/>
          <w:szCs w:val="20"/>
        </w:rPr>
        <w:t>U nabíjecích stanic</w:t>
      </w:r>
      <w:r w:rsidRPr="00EC53AB">
        <w:rPr>
          <w:rFonts w:ascii="Arial" w:eastAsia="Arial" w:hAnsi="Arial" w:cs="Arial"/>
          <w:sz w:val="20"/>
          <w:szCs w:val="20"/>
        </w:rPr>
        <w:t xml:space="preserve"> EVlink Pro AC</w:t>
      </w:r>
      <w:r w:rsidR="005C136D">
        <w:rPr>
          <w:rFonts w:ascii="Arial" w:eastAsia="Arial" w:hAnsi="Arial" w:cs="Arial"/>
          <w:sz w:val="20"/>
          <w:szCs w:val="20"/>
        </w:rPr>
        <w:t xml:space="preserve"> a</w:t>
      </w:r>
      <w:r w:rsidRPr="00EC53AB">
        <w:rPr>
          <w:rFonts w:ascii="Arial" w:eastAsia="Arial" w:hAnsi="Arial" w:cs="Arial"/>
          <w:sz w:val="20"/>
          <w:szCs w:val="20"/>
        </w:rPr>
        <w:t xml:space="preserve"> u DC stanic o výkonu 60 kW certifikační proces probíhá. Společnost pomáhala s certifikací i zákazníkovi Shell – jejich OEM stanice Titan V4 320 kW typovou zkoušku již absolvovala. Po úspěšném prvotním ověření v místě instalace jsou elektroměr i stanice opatřeny úředními plombami ČMI.</w:t>
      </w:r>
    </w:p>
    <w:p w14:paraId="489DA06B" w14:textId="77777777" w:rsidR="00EC53AB" w:rsidRPr="00EC53AB" w:rsidRDefault="00EC53AB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048FA763" w14:textId="39C77588" w:rsidR="00EC53AB" w:rsidRDefault="00EC53AB" w:rsidP="00EC53AB">
      <w:pPr>
        <w:jc w:val="both"/>
        <w:rPr>
          <w:rFonts w:ascii="Arial" w:eastAsia="Arial" w:hAnsi="Arial" w:cs="Arial"/>
          <w:sz w:val="20"/>
          <w:szCs w:val="20"/>
        </w:rPr>
      </w:pPr>
      <w:r w:rsidRPr="00EC53AB">
        <w:rPr>
          <w:rFonts w:ascii="Arial" w:eastAsia="Arial" w:hAnsi="Arial" w:cs="Arial"/>
          <w:sz w:val="20"/>
          <w:szCs w:val="20"/>
        </w:rPr>
        <w:t>Nařízení AFIR přitom zavádí i další povinnosti. Nové DC stanice nad 50 kW musejí umožňovat platbu kartou, všechny veřejné stanice pak musejí podporovat ad-hoc nabíjení</w:t>
      </w:r>
      <w:r w:rsidR="00BF08AC">
        <w:rPr>
          <w:rFonts w:ascii="Arial" w:eastAsia="Arial" w:hAnsi="Arial" w:cs="Arial"/>
          <w:sz w:val="20"/>
          <w:szCs w:val="20"/>
        </w:rPr>
        <w:t xml:space="preserve">, </w:t>
      </w:r>
      <w:r w:rsidRPr="00EC53AB">
        <w:rPr>
          <w:rFonts w:ascii="Arial" w:eastAsia="Arial" w:hAnsi="Arial" w:cs="Arial"/>
          <w:sz w:val="20"/>
          <w:szCs w:val="20"/>
        </w:rPr>
        <w:t>tedy dobití bez registrace nebo předplatného</w:t>
      </w:r>
      <w:r w:rsidR="00BF08AC">
        <w:rPr>
          <w:rFonts w:ascii="Arial" w:eastAsia="Arial" w:hAnsi="Arial" w:cs="Arial"/>
          <w:sz w:val="20"/>
          <w:szCs w:val="20"/>
        </w:rPr>
        <w:t>,</w:t>
      </w:r>
      <w:r w:rsidRPr="00EC53AB">
        <w:rPr>
          <w:rFonts w:ascii="Arial" w:eastAsia="Arial" w:hAnsi="Arial" w:cs="Arial"/>
          <w:sz w:val="20"/>
          <w:szCs w:val="20"/>
        </w:rPr>
        <w:t xml:space="preserve"> a transparentně zobrazovat cenu před zahájením nabíjení.</w:t>
      </w:r>
    </w:p>
    <w:p w14:paraId="7F3A8720" w14:textId="77777777" w:rsidR="00EC53AB" w:rsidRPr="00EC53AB" w:rsidRDefault="00EC53AB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716280A7" w14:textId="131E5557" w:rsidR="00AA761A" w:rsidRDefault="00EC53AB" w:rsidP="00EC53AB">
      <w:pPr>
        <w:jc w:val="both"/>
        <w:rPr>
          <w:rFonts w:ascii="Arial" w:eastAsia="Arial" w:hAnsi="Arial" w:cs="Arial"/>
          <w:sz w:val="20"/>
          <w:szCs w:val="20"/>
        </w:rPr>
      </w:pPr>
      <w:r w:rsidRPr="00BF08AC">
        <w:rPr>
          <w:rFonts w:ascii="Arial" w:eastAsia="Arial" w:hAnsi="Arial" w:cs="Arial"/>
          <w:i/>
          <w:iCs/>
          <w:sz w:val="20"/>
          <w:szCs w:val="20"/>
        </w:rPr>
        <w:t>„Certifikované měřidlo není jen zákonná povinnost</w:t>
      </w:r>
      <w:r w:rsidR="00BF08AC">
        <w:rPr>
          <w:rFonts w:ascii="Arial" w:eastAsia="Arial" w:hAnsi="Arial" w:cs="Arial"/>
          <w:i/>
          <w:iCs/>
          <w:sz w:val="20"/>
          <w:szCs w:val="20"/>
        </w:rPr>
        <w:t>, ale také z</w:t>
      </w:r>
      <w:r w:rsidRPr="00BF08AC">
        <w:rPr>
          <w:rFonts w:ascii="Arial" w:eastAsia="Arial" w:hAnsi="Arial" w:cs="Arial"/>
          <w:i/>
          <w:iCs/>
          <w:sz w:val="20"/>
          <w:szCs w:val="20"/>
        </w:rPr>
        <w:t>áklad důvěry mezi provozovatelem a zákazníkem,"</w:t>
      </w:r>
      <w:r w:rsidRPr="00EC53AB">
        <w:rPr>
          <w:rFonts w:ascii="Arial" w:eastAsia="Arial" w:hAnsi="Arial" w:cs="Arial"/>
          <w:sz w:val="20"/>
          <w:szCs w:val="20"/>
        </w:rPr>
        <w:t xml:space="preserve"> dodává Kabát. </w:t>
      </w:r>
      <w:r w:rsidRPr="00BF08AC">
        <w:rPr>
          <w:rFonts w:ascii="Arial" w:eastAsia="Arial" w:hAnsi="Arial" w:cs="Arial"/>
          <w:i/>
          <w:iCs/>
          <w:sz w:val="20"/>
          <w:szCs w:val="20"/>
        </w:rPr>
        <w:t>„Kdo to nevyřeší, riskuje, že nebude moci legálně účtovat odebranou energii."</w:t>
      </w:r>
    </w:p>
    <w:p w14:paraId="49EA1C28" w14:textId="77777777" w:rsidR="00102202" w:rsidRDefault="00102202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037EFFA8" w14:textId="3A228F45" w:rsidR="00102202" w:rsidRPr="00ED3A64" w:rsidRDefault="00102202" w:rsidP="00EC53AB">
      <w:pPr>
        <w:jc w:val="both"/>
        <w:rPr>
          <w:rFonts w:ascii="Arial" w:hAnsi="Arial" w:cs="Arial"/>
          <w:sz w:val="20"/>
          <w:szCs w:val="20"/>
        </w:rPr>
      </w:pPr>
      <w:r w:rsidRPr="00EC53AB">
        <w:rPr>
          <w:rFonts w:ascii="Arial" w:eastAsia="Arial" w:hAnsi="Arial" w:cs="Arial"/>
          <w:sz w:val="20"/>
          <w:szCs w:val="20"/>
        </w:rPr>
        <w:t>Konkrétní podmínky stanovuje Český metrologický institut: měřidlo musí mít platnou typovou zkoušku, měření musí být metrologicky průkazné a zákazník musí mít přístup k ověřitelným údajům o spotřebě. Povinnost vychází z evropského nařízení AFIR (EU 2023/1804) a směrnice MID (2014/32/EU)</w:t>
      </w:r>
      <w:r>
        <w:rPr>
          <w:rFonts w:ascii="Arial" w:eastAsia="Arial" w:hAnsi="Arial" w:cs="Arial"/>
          <w:sz w:val="20"/>
          <w:szCs w:val="20"/>
        </w:rPr>
        <w:t>.</w:t>
      </w:r>
    </w:p>
    <w:p w14:paraId="0909637D" w14:textId="77777777" w:rsidR="003F79A6" w:rsidRDefault="003F79A6" w:rsidP="003F79A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2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5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6" w:history="1">
        <w:proofErr w:type="spellStart"/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  <w:proofErr w:type="spellEnd"/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D813" w14:textId="77777777" w:rsidR="0029246D" w:rsidRPr="00EA4814" w:rsidRDefault="0029246D">
      <w:r w:rsidRPr="00EA4814">
        <w:separator/>
      </w:r>
    </w:p>
  </w:endnote>
  <w:endnote w:type="continuationSeparator" w:id="0">
    <w:p w14:paraId="22E4EC1B" w14:textId="77777777" w:rsidR="0029246D" w:rsidRPr="00EA4814" w:rsidRDefault="0029246D">
      <w:r w:rsidRPr="00EA4814">
        <w:continuationSeparator/>
      </w:r>
    </w:p>
  </w:endnote>
  <w:endnote w:type="continuationNotice" w:id="1">
    <w:p w14:paraId="6DC77468" w14:textId="77777777" w:rsidR="0029246D" w:rsidRPr="00EA4814" w:rsidRDefault="00292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244A68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Kontakt pro </w:t>
                          </w:r>
                          <w:proofErr w:type="gramStart"/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Crest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2760" w14:textId="77777777" w:rsidR="0029246D" w:rsidRPr="00EA4814" w:rsidRDefault="0029246D">
      <w:r w:rsidRPr="00EA4814">
        <w:separator/>
      </w:r>
    </w:p>
  </w:footnote>
  <w:footnote w:type="continuationSeparator" w:id="0">
    <w:p w14:paraId="0891002D" w14:textId="77777777" w:rsidR="0029246D" w:rsidRPr="00EA4814" w:rsidRDefault="0029246D">
      <w:r w:rsidRPr="00EA4814">
        <w:continuationSeparator/>
      </w:r>
    </w:p>
  </w:footnote>
  <w:footnote w:type="continuationNotice" w:id="1">
    <w:p w14:paraId="1B7C7616" w14:textId="77777777" w:rsidR="0029246D" w:rsidRPr="00EA4814" w:rsidRDefault="00292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25F7A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76C1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E4477"/>
    <w:rsid w:val="000F0643"/>
    <w:rsid w:val="000F0F1F"/>
    <w:rsid w:val="000F1FF2"/>
    <w:rsid w:val="000F5FC9"/>
    <w:rsid w:val="000F6EAE"/>
    <w:rsid w:val="000F74DF"/>
    <w:rsid w:val="00102202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4E9E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585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47C2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0D74"/>
    <w:rsid w:val="00251A77"/>
    <w:rsid w:val="00252220"/>
    <w:rsid w:val="0025352E"/>
    <w:rsid w:val="002562C5"/>
    <w:rsid w:val="00257F23"/>
    <w:rsid w:val="002602AB"/>
    <w:rsid w:val="002605EA"/>
    <w:rsid w:val="00260B5F"/>
    <w:rsid w:val="00260BD4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46D"/>
    <w:rsid w:val="002928AF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48AE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2D1"/>
    <w:rsid w:val="003633F8"/>
    <w:rsid w:val="0036359B"/>
    <w:rsid w:val="00363CB3"/>
    <w:rsid w:val="00365B6E"/>
    <w:rsid w:val="0037168F"/>
    <w:rsid w:val="0037233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966AF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3764B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136D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039"/>
    <w:rsid w:val="006305CF"/>
    <w:rsid w:val="00630F16"/>
    <w:rsid w:val="0064089B"/>
    <w:rsid w:val="00641B85"/>
    <w:rsid w:val="006423A3"/>
    <w:rsid w:val="006448E8"/>
    <w:rsid w:val="00645CEB"/>
    <w:rsid w:val="00646BB1"/>
    <w:rsid w:val="006509DA"/>
    <w:rsid w:val="00653457"/>
    <w:rsid w:val="006541E9"/>
    <w:rsid w:val="00654F79"/>
    <w:rsid w:val="0065666D"/>
    <w:rsid w:val="00656D98"/>
    <w:rsid w:val="006579F9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2AD6"/>
    <w:rsid w:val="006B408F"/>
    <w:rsid w:val="006B41D6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470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20C1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822"/>
    <w:rsid w:val="00852E9A"/>
    <w:rsid w:val="00857189"/>
    <w:rsid w:val="008623D8"/>
    <w:rsid w:val="0086489D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12B4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8F38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3AB"/>
    <w:rsid w:val="009219D3"/>
    <w:rsid w:val="0092487D"/>
    <w:rsid w:val="009309DF"/>
    <w:rsid w:val="00930B3E"/>
    <w:rsid w:val="009326E8"/>
    <w:rsid w:val="00937244"/>
    <w:rsid w:val="00937355"/>
    <w:rsid w:val="00942042"/>
    <w:rsid w:val="009432C3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529C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1FDF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6CFD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A761A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516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0CC0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6A60"/>
    <w:rsid w:val="00B31541"/>
    <w:rsid w:val="00B3236E"/>
    <w:rsid w:val="00B35F1A"/>
    <w:rsid w:val="00B36277"/>
    <w:rsid w:val="00B40B79"/>
    <w:rsid w:val="00B41231"/>
    <w:rsid w:val="00B42D5F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08AC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35A94"/>
    <w:rsid w:val="00C413DE"/>
    <w:rsid w:val="00C41759"/>
    <w:rsid w:val="00C41F24"/>
    <w:rsid w:val="00C4322E"/>
    <w:rsid w:val="00C45C4F"/>
    <w:rsid w:val="00C463C3"/>
    <w:rsid w:val="00C50E21"/>
    <w:rsid w:val="00C5128C"/>
    <w:rsid w:val="00C5322E"/>
    <w:rsid w:val="00C53537"/>
    <w:rsid w:val="00C54F9A"/>
    <w:rsid w:val="00C568B5"/>
    <w:rsid w:val="00C609FB"/>
    <w:rsid w:val="00C63F94"/>
    <w:rsid w:val="00C65A12"/>
    <w:rsid w:val="00C73887"/>
    <w:rsid w:val="00C765F9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0DF5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2A70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7618D"/>
    <w:rsid w:val="00E763FC"/>
    <w:rsid w:val="00E801D4"/>
    <w:rsid w:val="00E8072A"/>
    <w:rsid w:val="00E81133"/>
    <w:rsid w:val="00E8172A"/>
    <w:rsid w:val="00E84726"/>
    <w:rsid w:val="00E863B2"/>
    <w:rsid w:val="00E900FE"/>
    <w:rsid w:val="00E91343"/>
    <w:rsid w:val="00E9592D"/>
    <w:rsid w:val="00E95FAD"/>
    <w:rsid w:val="00E96A54"/>
    <w:rsid w:val="00EA15E3"/>
    <w:rsid w:val="00EA1900"/>
    <w:rsid w:val="00EA1F71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53AB"/>
    <w:rsid w:val="00EC6E77"/>
    <w:rsid w:val="00ED1E1A"/>
    <w:rsid w:val="00ED3A64"/>
    <w:rsid w:val="00ED528F"/>
    <w:rsid w:val="00EE230B"/>
    <w:rsid w:val="00EE27B3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37938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4E3F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1126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 | CrestCommunications a.s.</cp:lastModifiedBy>
  <cp:revision>4</cp:revision>
  <dcterms:created xsi:type="dcterms:W3CDTF">2026-06-02T13:46:00Z</dcterms:created>
  <dcterms:modified xsi:type="dcterms:W3CDTF">2026-06-03T08:49:00Z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